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3c71d4acaabb4dcc"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7608</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DOM ZA STARIJE I NEMOĆNE OSOBE ĐAKOVO</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31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VI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1.294.920,31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1.603.282,95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1.493.720,32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1.432.043,33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171.239,62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259,96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211.420,46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&gt;&gt;100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259,96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211.420,46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&gt;&gt;100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199.059,97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40.180,84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20,2</w:t>
            </w:r>
          </w:p>
        </w:tc>
      </w:tr>
    </w:tbl>
    <w:p>
      <w:pPr>
        <w:spacing w:before="0" w:after="0"/>
      </w:pPr>
    </w:p>
    <w:p>
      <w:r>
        <w:rPr>
          <w:b/>
        </w:rPr>
        <w:t xml:space="preserve">Ukupni prihodi poslovanja (šifra 6)</w:t>
      </w:r>
      <w:r>
        <w:t xml:space="preserve"> u iznosu od 1.603.282,95 EUR se sastoje od prihoda od opskrbnine i participacije - smještaja korisnika u Domu, usluga kućne njege (izvaninstitucionalana djelatnost), poludnevnog boravka za vanjske korisnike i ostalih prihoda (najam prostora), prihodi iz decentraliziranih sredstava od JLP(R)S te izvornih sredstava Osječko-baranjske županije. </w:t>
      </w:r>
      <w:r>
        <w:rPr>
          <w:b/>
        </w:rPr>
        <w:t xml:space="preserve">Ukupni rashodi poslovanja (šifra 3)</w:t>
      </w:r>
      <w:r>
        <w:t xml:space="preserve"> u iznosu od 1.432.043,33 EUR se sastoje od troškova plaća koja je rasla za 1% (isplata u svibnju,a plaća za travanj) u iznosu od 904.021,25 EUR, ostali rashodi za zaposlene u iznosu od 45.653,43 EUR, doprinosi na plaću 149.163,51 EUR, naknade troškova zaposlenicima u iznosu od 24.911,02 EUR, rashodi za materijal i energiju 211.386,84 EUR, rashodi za usluge i ostali rashodi u iznosu od 91.841,10 EUR, financijski rashodi od 2.360,70 EUR te naknade građanima i kućanstvima iz proračuna u iznosu od 2.705,48 EUR. </w:t>
      </w:r>
      <w:r>
        <w:rPr>
          <w:b/>
        </w:rPr>
        <w:t xml:space="preserve">Višak prihoda poslovanja (šifra X001)</w:t>
      </w:r>
      <w:r>
        <w:t xml:space="preserve"> u iznosu od 171.239,62 EUR je razlika između razreda 6 i razreda 3 koja nije stvarni višak prihoda poslovanja jer nije uključen razred 4. </w:t>
      </w:r>
    </w:p>
    <w:p>
      <w:r>
        <w:rPr>
          <w:b/>
        </w:rPr>
        <w:t xml:space="preserve">Manjak prihoda od nefinancijske imovine (šifra Y002)</w:t>
      </w:r>
      <w:r>
        <w:t xml:space="preserve"> u iznosu od 211.420,46 EUR se sastoji od dodatnih ulaganja na građevinskom objektima u iznosu od 191.073,58 EUR te postrojenja i opreme u iznosu od 20.346,88 EUR. Dom se proširuje i planira u skoroj budućnosti otvoriti odjel za pružanje IV.stupnja usluge na Odjelu za zdravtvenu i pojačanu njegu sa 18 smještenih mjesta. Oprema se novi odjel sa opremom, uređajima i namještajem.</w:t>
      </w:r>
    </w:p>
    <w:p>
      <w:r>
        <w:t xml:space="preserve">Dom nema primitaka od financijske imovine i zaduživanja niti izdataka za financijsku imovinu i otplate zajmova </w:t>
      </w:r>
      <w:r>
        <w:rPr>
          <w:b/>
        </w:rPr>
        <w:t xml:space="preserve">(šifra X003 I Y003)</w:t>
      </w:r>
      <w:r>
        <w:t xml:space="preserve">.</w:t>
      </w:r>
    </w:p>
    <w:p>
      <w:r>
        <w:rPr>
          <w:b/>
        </w:rPr>
        <w:t xml:space="preserve">Manjak prihoda i primitaka (šifra Y005)</w:t>
      </w:r>
      <w:r>
        <w:t xml:space="preserve"> od 40.180,84 EUR je iz razloga što su se troškovi povećali na svim stavkama.</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1.294.920,31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1.603.282,95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123,8</w:t>
            </w:r>
          </w:p>
        </w:tc>
      </w:tr>
    </w:tbl>
    <w:p>
      <w:pPr>
        <w:spacing w:before="0" w:after="0"/>
      </w:pPr>
    </w:p>
    <w:p>
      <w:r>
        <w:t xml:space="preserve">Prihodi poslovanja (šifre 61+62+63+64+65+66+67+68) veći su za 23,8% u odnosu na prethodnu godinu jer je Dom počeo sa poludnevnim boravkom prvom polovicom svibnja te su doznačena sredstva iz izvora 11 za dodatna ulaganja na građevinskim objektima (novi odjel pružanja IV. stupnja usluge je u izgradnji) te prihodi za financiranje rashoda za nabavu nefinancijske imovine- oprema. </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imovine (šifre 641+642+643)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Prihod od imovine je u biti prihod od zakupa poslovnih objekata. Prihod se ostvaruje 75 EUR mjesečno te je to frizerski salon za naše korisnike. </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upravnih i administrativnih pristojbi, pristojbi po posebnim propisima i naknada (šifre 651+652+653+654)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821.436,55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1.043.738,96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127,1</w:t>
            </w:r>
          </w:p>
        </w:tc>
      </w:tr>
    </w:tbl>
    <w:p>
      <w:pPr>
        <w:spacing w:before="0" w:after="0"/>
      </w:pPr>
    </w:p>
    <w:p>
      <w:r>
        <w:t xml:space="preserve">Prihodi od upravnih i administrativnih pristojbi, pristojbi po posebnim propisima i naknada (šifre 651+652+653+654) u iznosu od 1.043.738,96 EUR je veći za 27,10% u odnosu na prethodnu godinu  u istom razdoblju jer je bilo povećanje cijena 01.11.2025. godine za uslugu smještaja, povećanje cijene za ručak za vanjske korisnike te cijene pomoći njege u kući. Prošle godine u isto razdoblju nije bilo povećanje cijena pa su i prihodi manje. Ove godine u prvoj polovici svibnja Dom je počeo sa poludnevnim boravkom te je i to povećalo prihode. </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i od HZZO-a na temelju ugovornih obveza (šifre 671+673)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470.243,76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555.853,99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118,2</w:t>
            </w:r>
          </w:p>
        </w:tc>
      </w:tr>
    </w:tbl>
    <w:p>
      <w:pPr>
        <w:spacing w:before="0" w:after="0"/>
      </w:pPr>
    </w:p>
    <w:p>
      <w:r>
        <w:t xml:space="preserve">Prihodi iz nadležnog proračuna i od HZZO-a na temelju ugovorenih obeveza (šifre 671+673) je veći za 18% u odnosu na prošlu godinu jer prošle godine u ovom istom razdoblju nije bilo dodatnih ulaganja na građevinskim objektima. Dom se proširuje te će dobiti novi odjel pružanja IV. stupnja usluge. </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rashodi za zaposlene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21.198,62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45.653,43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215,4</w:t>
            </w:r>
          </w:p>
        </w:tc>
      </w:tr>
    </w:tbl>
    <w:p>
      <w:pPr>
        <w:spacing w:before="0" w:after="0"/>
      </w:pPr>
    </w:p>
    <w:p>
      <w:r>
        <w:t xml:space="preserve">Ostali rashodi za zaposlene u iznosu od 45.653,43 EUR su veći za 115,40% u odnosu na prošlu godinu zbog isplate regresa u 6. mjesecu, koji se 2025. godini isplatio u 7.mjesecu, te je isplaćeno više uskrsnica zbog većeg broja zaposlenih.</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troškova zaposlenima (šifre 3211 do 3214)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19.867,29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24.911,02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125,4</w:t>
            </w:r>
          </w:p>
        </w:tc>
      </w:tr>
    </w:tbl>
    <w:p>
      <w:pPr>
        <w:spacing w:before="0" w:after="0"/>
      </w:pPr>
    </w:p>
    <w:p>
      <w:r>
        <w:t xml:space="preserve">Naknada troškova zaposlenima (šifre 3211 do 3214) u iznosu od 24.911,02 EUR je veća za 25,40% u odnosu na 2025. godinu u istom razdoblju zbog obnavljanja licence (odnosno uvjerenja o osposobljenosti) za rukovatelja centralnog grijanja u Hrvatskoj koje je regulirano Pravilnikom o poslovima upravljanja i rukovanja energetskim postrojenjima i energetskim uređajima te su dva zaposlenika poslana na tečaj za obnavljanje licence. Povećanje na tom kontu desilo se i zbog toga što je voditeljica računovodstva poslana na specijalistički program izobrazbe u području javne nabave zbog skorog odlaska u mirovinu djelatnice koja ima certifikat. </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Službena putovanja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616,50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150,0</w:t>
            </w:r>
          </w:p>
        </w:tc>
      </w:tr>
    </w:tbl>
    <w:p>
      <w:pPr>
        <w:spacing w:before="0" w:after="0"/>
      </w:pPr>
    </w:p>
    <w:p>
      <w:r>
        <w:t xml:space="preserve">Službena putovanja su se povećala za 50% u odnosu na 2025. godinu zbog dnevnica tj. odlaska na seminare te odlasci na specijalistički program izobrazbe u podučju javne nabave koji je trajao 5 dana.</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Stručno usavršavanje zaposlenika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1.008,00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3.253,00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322,7</w:t>
            </w:r>
          </w:p>
        </w:tc>
      </w:tr>
    </w:tbl>
    <w:p>
      <w:pPr>
        <w:spacing w:before="0" w:after="0"/>
      </w:pPr>
    </w:p>
    <w:p>
      <w:r>
        <w:t xml:space="preserve">Stručno usavršavanje zaposlenika u iznosu od 3.253,00 EUR se povećalo za 222,70% u odnosu na prošlu godinu zbog plaćanja ispita dvojici zaposlenika koji su poslani da obnove licencu za rukovatelja centralnog grijanja koje je u Hrvatskoj regulirano Pravilnikom. </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promidžbe i informiranja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425,25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968,85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227,8</w:t>
            </w:r>
          </w:p>
        </w:tc>
      </w:tr>
    </w:tbl>
    <w:p>
      <w:pPr>
        <w:spacing w:before="0" w:after="0"/>
      </w:pPr>
    </w:p>
    <w:p>
      <w:r>
        <w:t xml:space="preserve">Usluge promidžbe i informiranja su se povećali za 127,80% u odnosu na 2025. godinu gdje se mjesečno plaćao tisak, a ove godine se plaća godišnja pretplata. Prošle godine u isto vrijeme nije bilo natječaja za zapošljavanje te nije bilo troškova objave u Narodnim novinama. </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23.954,12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34.654,50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144,7</w:t>
            </w:r>
          </w:p>
        </w:tc>
      </w:tr>
    </w:tbl>
    <w:p>
      <w:pPr>
        <w:spacing w:before="0" w:after="0"/>
      </w:pPr>
    </w:p>
    <w:p>
      <w:r>
        <w:t xml:space="preserve">Rashodi za komunalne usluge su se povećale za 44,70% najvećim dijelom se odnosi na troškove pogrebnih usluga za naša 3 korisnika smještena u Domu temeljem rješenja Hrvatskog zavoda za socijalni rad-PU Đakovo, za koje nije bilo osoba koje će snositi troškove pogreba. Zbog većeg broja takvih slučajeva u odnosu na prethodnu godinu došlo je do povećanja rashoda na ovom kontu.</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Zdravstvene i veterinarske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769,92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1.432,52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186,1</w:t>
            </w:r>
          </w:p>
        </w:tc>
      </w:tr>
    </w:tbl>
    <w:p>
      <w:pPr>
        <w:spacing w:before="0" w:after="0"/>
      </w:pPr>
    </w:p>
    <w:p>
      <w:r>
        <w:t xml:space="preserve">Povećanje rashoda zdravstvene i veterinarske usluge za 86,10% posljedica je većeg korištenja obveznih zdravstvenih usluga za potrebe zaposlenika Doma te mikrobiološka analiza hrane od Nastavnog zavoda za javno zdravstvo Osječko-baranjske županije.</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(šifre 3291 do 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6.535,26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11.532,66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176,5</w:t>
            </w:r>
          </w:p>
        </w:tc>
      </w:tr>
    </w:tbl>
    <w:p>
      <w:pPr>
        <w:spacing w:before="0" w:after="0"/>
      </w:pPr>
    </w:p>
    <w:p>
      <w:r>
        <w:t xml:space="preserve">Ostali nespomenuti rashodi poslovanja (šifre 3291 do 3299) u iznosu od 11.532,66 EUR je veći za 76,5% u odnosu na 2025. godinu posljedica je većih rashoda za naknade članovima upravnog vijeća, reprezentaciju te pristojbe i ostale rashode poslovanja.</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rad predstavničkih i izvršnih tijela, povjerenstava i slično</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2.330,88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4.927,14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211,4</w:t>
            </w:r>
          </w:p>
        </w:tc>
      </w:tr>
    </w:tbl>
    <w:p>
      <w:pPr>
        <w:spacing w:before="0" w:after="0"/>
      </w:pPr>
    </w:p>
    <w:p>
      <w:r>
        <w:t xml:space="preserve">Dana 30.12.2025. godine doneseno je Rješenje o utvrđivanju novčane naknade za rad predsjednika i članova upravnih vijeća domova za starije i nemoćne osobe kojima je osnivač Osječko-baranjska županija te su se tim rješenjem povećale novčane naknade za upravno vijeće i članove upravnog vijeća te je zato povećanje od 111,40% u odnosu na prošlu godinu.</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Reprezentacija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1.389,55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4090,5</w:t>
            </w:r>
          </w:p>
        </w:tc>
      </w:tr>
    </w:tbl>
    <w:p>
      <w:pPr>
        <w:spacing w:before="0" w:after="0"/>
      </w:pPr>
    </w:p>
    <w:p>
      <w:r>
        <w:t xml:space="preserve">Rashodi na kontu 3293 – Reprezentacija povećani su u odnosu na prošlu godinu u istom razdoblju zbog otvaranja novog odijela i više posjeta poslovnih partnera.</w:t>
      </w:r>
    </w:p>
    <w:p>
      <w:r>
        <w:t xml:space="preserve"> </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Pristojbe i naknade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1.408,27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1.956,57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138,9</w:t>
            </w:r>
          </w:p>
        </w:tc>
      </w:tr>
    </w:tbl>
    <w:p>
      <w:pPr>
        <w:spacing w:before="0" w:after="0"/>
      </w:pPr>
    </w:p>
    <w:p>
      <w:r>
        <w:t xml:space="preserve">Povećala se novčana naknada posl. zbog nezapošljavanja osoba s invaliditetom te nam se obveza za kvotu povećala za jednu osobu u odnosu na prošlu godinu u istom razdoblju te je zato povećanje od 38,90%.</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944,85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1.306,79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138,3</w:t>
            </w:r>
          </w:p>
        </w:tc>
      </w:tr>
    </w:tbl>
    <w:p>
      <w:pPr>
        <w:spacing w:before="0" w:after="0"/>
      </w:pPr>
    </w:p>
    <w:p>
      <w:r>
        <w:t xml:space="preserve">Ostali nespomenuti rashodi poslovanja (konto 3299) su veći za 38,30% u odnosu na prošlu godinu zbog povećanja cijena u ovoj godini. </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građanima i kućanstvima u novcu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2.190,00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2.705,48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123,5</w:t>
            </w:r>
          </w:p>
        </w:tc>
      </w:tr>
    </w:tbl>
    <w:p>
      <w:pPr>
        <w:spacing w:before="0" w:after="0"/>
      </w:pPr>
    </w:p>
    <w:p>
      <w:r>
        <w:t xml:space="preserve">Vlada RH je na sjednici održanoj 14. siječnja 2026. godine povećala osnovicu na temelju koje se izračunava iznos naknada građanima i kućanstvima na temelju osiguranja i druge naknade u sustavu socijalne skrbi (đeparac). Ta odluka se počela primjenjivati od 01.01.2026. godine. Zato je povećanje 23,50% u odnosu na prethodnu godinu kada je osnovica bila manja. </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prihoda poslovanja - preneseni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40.890,98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78.218,96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191,3</w:t>
            </w:r>
          </w:p>
        </w:tc>
      </w:tr>
    </w:tbl>
    <w:p>
      <w:pPr>
        <w:spacing w:before="0" w:after="0"/>
      </w:pPr>
    </w:p>
    <w:p>
      <w:r>
        <w:t xml:space="preserve">Višak prihoda iz 2024. godine u iznosu od 40.890,98 EUR nije utrošen u 2025. godini te se višak prihoda povećao u 2025. godini koji iznosi 37.327,98 EUR te se višak prihoda iz 2024. i 2025. godine prenio u 2026. godinu.</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Obračunati prihodi poslovanja - nenaplaćeni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12.566,79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16.969,11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135,0</w:t>
            </w:r>
          </w:p>
        </w:tc>
      </w:tr>
    </w:tbl>
    <w:p>
      <w:pPr>
        <w:spacing w:before="0" w:after="0"/>
      </w:pPr>
    </w:p>
    <w:p>
      <w:r>
        <w:t xml:space="preserve">Nedospjela potraživanja od Ministarstva rada, mirovinskog sustava, obitelji i socijalne politike za usluge smještaja, kućne njege i ostalih usluga.</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Postrojenja i oprema (šifre 4221 do 4228)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259,96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20.346,88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7826,9</w:t>
            </w:r>
          </w:p>
        </w:tc>
      </w:tr>
    </w:tbl>
    <w:p>
      <w:pPr>
        <w:spacing w:before="0" w:after="0"/>
      </w:pPr>
    </w:p>
    <w:p>
      <w:r>
        <w:t xml:space="preserve">Ove godinu je veliko povećanje troškova nabave nefinancijske imovine jer se oprema novi odjel sa namještajem, uređajima i strojevima potrebnih za funkcioniranje novog odjela. Troškovi se financiraju iz izvora 11 tj. od Osječko-baranjske županije. </w:t>
      </w:r>
    </w:p>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Uredska oprema i namještaj</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2.124,44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Uredska oprema i namještaj konto 4221 se nalazi račun za novo računalo, monitor, softver i printer koji će koristiti medicinske sestre te će biti u novom odjelu za demenciju za IV. stupanj usluge. </w:t>
      </w:r>
    </w:p>
    <w:p/>
    <w:p>
      <w:pPr>
        <w:jc w:val="center"/>
        <w:pStyle w:val="Normal"/>
        <w:spacing w:line="240" w:lineRule="auto"/>
        <w:keepNext/>
      </w:pPr>
      <w:r>
        <w:rPr>
          <w:sz w:val="28"/>
          <w:rFonts w:ascii="Times New Roman" w:hAnsi="Times New Roman"/>
        </w:rPr>
        <w:t xml:space="preserve">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Komunikacijska oprema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259,96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1.827,55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703,0</w:t>
            </w:r>
          </w:p>
        </w:tc>
      </w:tr>
    </w:tbl>
    <w:p>
      <w:pPr>
        <w:spacing w:before="0" w:after="0"/>
      </w:pPr>
    </w:p>
    <w:p>
      <w:r>
        <w:t xml:space="preserve">Rashodi na kontu 4222 – Komunikacijska oprema povećani su za 603% u odnosu na prethodnu godinu zbog opremanja novog odjela. Za potrebe korisnika nabavljeno je 11 televizijskih uređaja, od čega je 10 uređaja namijenjeno opremanju soba korisnika, a jedan uređaj zajedničkom dnevnom boravku odjela. Navedena nabava nije bila planirana niti realizirana u prethodnoj godini, zbog čega je došlo do povećanja rashoda na ovom kontu.</w:t>
      </w:r>
    </w:p>
    <w:p/>
    <w:p>
      <w:pPr>
        <w:jc w:val="center"/>
        <w:pStyle w:val="Normal"/>
        <w:spacing w:line="240" w:lineRule="auto"/>
        <w:keepNext/>
      </w:pPr>
      <w:r>
        <w:rPr>
          <w:sz w:val="28"/>
          <w:rFonts w:ascii="Times New Roman" w:hAnsi="Times New Roman"/>
        </w:rPr>
        <w:t xml:space="preserve">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Oprema za održavanje i zaštitu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1.144,96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Dom oprema novi odjel s namještajem, strojevima i uređajima te je kupljen jedan hladnjak, usisavač i jedan čistač poda. Prošle godine 2025. nije bilo opremanja novog odjela pa na ovom kontu nije bilo rashoda za nabavu nefinancijske imovine. </w:t>
      </w:r>
    </w:p>
    <w:p/>
    <w:p>
      <w:pPr>
        <w:jc w:val="center"/>
        <w:pStyle w:val="Normal"/>
        <w:spacing w:line="240" w:lineRule="auto"/>
        <w:keepNext/>
      </w:pPr>
      <w:r>
        <w:rPr>
          <w:sz w:val="28"/>
          <w:rFonts w:ascii="Times New Roman" w:hAnsi="Times New Roman"/>
        </w:rPr>
        <w:t xml:space="preserve">Bilješka 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Uređaji, strojevi i oprema za ostale namjene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15.249,93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Rashodi na kontu 4227 – Uređaji, strojevi i oprema za ostale namjene ostvareni su u tekućoj godini zbog opremanja novog odjela (mikrovalne pečnice, stroj za preradu hrane, perilica suđa) te nabave dijela potrebne opreme za kuhinju (planetarna mješalica, stroj za rezanje povrća te dvoetažna kolica). U prethodnoj godini na ovom kontu nije bilo evidentiranih rashoda. Nabava opreme bila je povezana s obnovom i stavljanjem u funkciju novog odjela, kao i unaprjeđenjem uvjeta za pripremu i distribuciju hrane za korisnike ustanove.</w:t>
      </w:r>
    </w:p>
    <w:p/>
    <w:p>
      <w:pPr>
        <w:jc w:val="center"/>
        <w:pStyle w:val="Normal"/>
        <w:spacing w:line="240" w:lineRule="auto"/>
        <w:keepNext/>
      </w:pPr>
      <w:r>
        <w:rPr>
          <w:sz w:val="28"/>
          <w:rFonts w:ascii="Times New Roman" w:hAnsi="Times New Roman"/>
        </w:rPr>
        <w:t xml:space="preserve">Bilješka 26.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Dodatna ulaganja na građevinskim objektima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191.073,58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Rashodi na kontu 451 – Dodatna ulaganja na građevinskim objektima ostvareni su u tekućoj godini zbog provedbe investicije obnove i uređenja prostora za uspostavu novog odjela pružanja IV. stupnja usluge. Ulaganja su obuhvatila radove potrebne za prilagodbu prostora i njegovo stavljanje u funkciju za smještaj korisnika. Investiciju je financirala Županija, zbog čega u prethodnoj godini u istom razdoblju nije bilo evidentiranih rashoda na ovom kontu. Navedeno povećanje predstavlja jednokratno kapitalno ulaganje, a ne povećanje redovnih troškova poslovanja ustanove.</w:t>
      </w:r>
    </w:p>
    <w:p/>
    <w:p>
      <w:pPr>
        <w:jc w:val="center"/>
        <w:pStyle w:val="Normal"/>
        <w:spacing w:line="240" w:lineRule="auto"/>
        <w:keepNext/>
      </w:pPr>
      <w:r>
        <w:rPr>
          <w:sz w:val="28"/>
          <w:rFonts w:ascii="Times New Roman" w:hAnsi="Times New Roman"/>
        </w:rPr>
        <w:t xml:space="preserve">Bilješka 27.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259,96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211.420,46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&gt;&gt;100</w:t>
            </w:r>
          </w:p>
        </w:tc>
      </w:tr>
    </w:tbl>
    <w:p>
      <w:pPr>
        <w:spacing w:before="0" w:after="0"/>
      </w:pPr>
    </w:p>
    <w:p>
      <w:r>
        <w:t xml:space="preserve">Iskazani manjak prihoda od nefinancijske imovine posljedica je provedbe investicije uređenja i opremanja novog odjela. U tekućoj godini realizirana su značajna ulaganja u građevinske radove i nabavu opreme, dok u prethodnoj godini u istom razdoblju takvih ulaganja nije bilo. Ulaganja u postrojenja i opremu te dodatna ulaganja na građevinskim objektima je financira Osječko-baranjska županija te su ti prihodi evidentirani na kontu 671.</w:t>
      </w:r>
    </w:p>
    <w:p/>
    <w:p>
      <w:pPr>
        <w:jc w:val="center"/>
        <w:pStyle w:val="Normal"/>
        <w:spacing w:line="240" w:lineRule="auto"/>
        <w:keepNext/>
      </w:pPr>
      <w:r>
        <w:rPr>
          <w:sz w:val="28"/>
          <w:rFonts w:ascii="Times New Roman" w:hAnsi="Times New Roman"/>
        </w:rPr>
        <w:t xml:space="preserve">Bilješka 28.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PRIHODI (šifre 6+7)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X067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1.294.920,31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1.603.282,95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123,8</w:t>
            </w:r>
          </w:p>
        </w:tc>
      </w:tr>
    </w:tbl>
    <w:p>
      <w:pPr>
        <w:spacing w:before="0" w:after="0"/>
      </w:pPr>
    </w:p>
    <w:p>
      <w:r>
        <w:t xml:space="preserve">Ukupni prihodi u tekućoj godini ostvareni su u iznosu od 1.603.282,95 eura, što predstavlja povećanje od 308.362,64 eura odnosno 23,8 % u odnosu na prethodnu godinu. Povećanje prihoda najvećim se dijelom odnosi na veće prihode od pružanja usluga smještaja i skrbi za korisnike, poludnevnog boravka te prihode povezane s financiranjem obnove i opremanja novog odjela za osobe oboljele od demencije. U tekućoj godini realizirana su sredstva Županije za provedbu investicije uređenja prostora, dok takvih prihoda u prethodnoj godini nije bilo.</w:t>
      </w:r>
    </w:p>
    <w:p/>
    <w:p>
      <w:pPr>
        <w:jc w:val="center"/>
        <w:pStyle w:val="Normal"/>
        <w:spacing w:line="240" w:lineRule="auto"/>
        <w:keepNext/>
      </w:pPr>
      <w:r>
        <w:rPr>
          <w:sz w:val="28"/>
          <w:rFonts w:ascii="Times New Roman" w:hAnsi="Times New Roman"/>
        </w:rPr>
        <w:t xml:space="preserve">Bilješka 29.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RASHODI (šifre Z005+4)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1.493.980,28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1.643.463,79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110,0</w:t>
            </w:r>
          </w:p>
        </w:tc>
      </w:tr>
    </w:tbl>
    <w:p>
      <w:pPr>
        <w:spacing w:before="0" w:after="0"/>
      </w:pPr>
    </w:p>
    <w:p>
      <w:r>
        <w:t xml:space="preserve">Ukupni rashodi u tekućoj godini ostvareni su u iznosu od 1.643.463,79 eura, što predstavlja povećanje od 149.483,51 eura odnosno 10,0 % u odnosu na prethodnu godinu. Povećanje rashoda rezultat je povećanog opsega poslovanja ustanove, većih troškova rada i materijalnih rashoda, kao i realizacije ulaganja u obnovu i opremanje novog odjela za osobe oboljele od demencije. U tekućoj godini ostvareni su rashodi za dodatna ulaganja na građevinskim objektima (konto 451) te nabavu opreme za novi odjel i kuhinju.</w:t>
      </w:r>
    </w:p>
    <w:p/>
    <w:p>
      <w:pPr>
        <w:jc w:val="center"/>
        <w:pStyle w:val="Normal"/>
        <w:spacing w:line="240" w:lineRule="auto"/>
        <w:keepNext/>
      </w:pPr>
      <w:r>
        <w:rPr>
          <w:sz w:val="28"/>
          <w:rFonts w:ascii="Times New Roman" w:hAnsi="Times New Roman"/>
        </w:rPr>
        <w:t xml:space="preserve">Bilješka 30.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prihoda i primitaka raspoloživ u sljedećem razdoblju (šifre X005 + '9221-9222' - Y005 - '9222-9221')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38.038,12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Preneseni višak prihoda i primitaka na početku izvještajnog razdoblja iznosi 78.218,96 eura, što predstavlja povećanje u odnosu na prethodnu godinu kada je iznosio 40.890,98 eura. Navedeni višak rezultat je pozitivnog poslovanja iz prethodnih razdoblja. U tekućoj godini ostvaren je manjak prihoda i primitaka u iznosu od 40.180,84 eura, koji je pokriven dijelom prenesenog viška. Nakon pokrića ostvarenog manjka, višak prihoda i primitaka raspoloživ u sljedećem razdoblju iznosi 38.038,12 eura.</w:t>
      </w:r>
    </w:p>
    <w:p/>
    <w:p>
      <w:pPr>
        <w:jc w:val="center"/>
        <w:pStyle w:val="Normal"/>
        <w:spacing w:line="240" w:lineRule="auto"/>
        <w:keepNext/>
      </w:pPr>
      <w:r>
        <w:rPr>
          <w:sz w:val="28"/>
          <w:rFonts w:ascii="Times New Roman" w:hAnsi="Times New Roman"/>
        </w:rPr>
        <w:t xml:space="preserve">Bilješka 31.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novčanih sredstava na početku izvještajnog razdoblja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11P</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170.245,85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588.143,32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345,5</w:t>
            </w:r>
          </w:p>
        </w:tc>
      </w:tr>
    </w:tbl>
    <w:p>
      <w:pPr>
        <w:spacing w:before="0" w:after="0"/>
      </w:pPr>
    </w:p>
    <w:p>
      <w:r>
        <w:t xml:space="preserve">Stanje novčanih sredstava na početku izvještajnog razdoblja povećano je u odnosu na prethodnu godinu zbog prenesenih novčanih sredstava iz prethodnog razdoblja, obveze prema dobavljačima te avansi kupaca. Povećano početno stanje rezultat je osiguranih sredstava za podmirenje obveza Doma te provedbu planiranih aktivnosti i ulaganja.</w:t>
      </w:r>
    </w:p>
    <w:p/>
    <w:p>
      <w:pPr>
        <w:jc w:val="center"/>
        <w:pStyle w:val="Normal"/>
        <w:spacing w:line="240" w:lineRule="auto"/>
        <w:keepNext/>
      </w:pPr>
      <w:r>
        <w:rPr>
          <w:sz w:val="28"/>
          <w:rFonts w:ascii="Times New Roman" w:hAnsi="Times New Roman"/>
        </w:rPr>
        <w:t xml:space="preserve">Bilješka 32.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11-dugov.</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priljevi na novčane račune i blagajne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11-dugov.</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1.399.089,86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2.280.968,13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163,0</w:t>
            </w:r>
          </w:p>
        </w:tc>
      </w:tr>
    </w:tbl>
    <w:p>
      <w:pPr>
        <w:spacing w:before="0" w:after="0"/>
      </w:pPr>
    </w:p>
    <w:p>
      <w:r>
        <w:t xml:space="preserve">Ukupni priljevi na novčane račune i blagajne povećani su za 881.878,27 eura odnosno 63,0 % u odnosu na prethodnu godinu u istom razdoblju. Povećanje priljeva rezultat je većih ostvarenih prihoda od pružanja usluga korisnicima, kao i primitaka povezanih s provedbom investicije obnove i opremanja novog odjela za osobe oboljele od demencije, koju financira Županija.</w:t>
      </w:r>
    </w:p>
    <w:p/>
    <w:p>
      <w:pPr>
        <w:jc w:val="center"/>
        <w:pStyle w:val="Normal"/>
        <w:spacing w:line="240" w:lineRule="auto"/>
        <w:keepNext/>
      </w:pPr>
      <w:r>
        <w:rPr>
          <w:sz w:val="28"/>
          <w:rFonts w:ascii="Times New Roman" w:hAnsi="Times New Roman"/>
        </w:rPr>
        <w:t xml:space="preserve">Bilješka 33.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11-potraž.</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odljevi s novčanih računa i blagajni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11-potraž.</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1.480.584,97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2.006.144,17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135,5</w:t>
            </w:r>
          </w:p>
        </w:tc>
      </w:tr>
    </w:tbl>
    <w:p>
      <w:pPr>
        <w:spacing w:before="0" w:after="0"/>
      </w:pPr>
    </w:p>
    <w:p>
      <w:r>
        <w:t xml:space="preserve">Ukupni odljevi novčanih sredstava povećani su za 525.559,20 eura odnosno 35,5 % u odnosu na isto razdoblje prethodne godine. Povećanje odljeva posljedica je podmirenja većeg opsega obveza ustanove, uključujući redovne troškove poslovanja, rashode za zaposlene, materijalne rashode te realizaciju ulaganja u obnovu prostora i opremanje novog odjela za osobe oboljele od demencije.</w:t>
      </w:r>
    </w:p>
    <w:p/>
    <w:p>
      <w:pPr>
        <w:jc w:val="center"/>
        <w:pStyle w:val="Normal"/>
        <w:spacing w:line="240" w:lineRule="auto"/>
        <w:keepNext/>
      </w:pPr>
      <w:r>
        <w:rPr>
          <w:sz w:val="28"/>
          <w:rFonts w:ascii="Times New Roman" w:hAnsi="Times New Roman"/>
        </w:rPr>
        <w:t xml:space="preserve">Bilješka 34.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novčanih sredstava na kraju izvještajnog razdoblja (šifre 11P + '11-dugov.' - '11-potraž.')</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11K</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88.750,74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862.967,28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972,3</w:t>
            </w:r>
          </w:p>
        </w:tc>
      </w:tr>
    </w:tbl>
    <w:p>
      <w:pPr>
        <w:spacing w:before="0" w:after="0"/>
      </w:pPr>
    </w:p>
    <w:p>
      <w:r>
        <w:t xml:space="preserve">Stanje novčanih sredstava na kraju izvještajnog razdoblja iznosi 862.967,28 eura, što predstavlja povećanje od 774.216,54 eura u odnosu na prethodnu godinu. Povećanje novčanih sredstava rezultat je većih priljeva tijekom godine, prvenstveno prihoda od poslovanja i primljenih sredstava za financiranje investicije obnove i opremanja novog odjela za pružanja IV. stupnja usluge. Unatoč realiziranim ulaganjima i povećanim rashodima, ustanova je zadržala stabilnu likvidnost i raspoloživa sredstva za podmirenje budućih obveza.</w:t>
      </w:r>
    </w:p>
    <w:p/>
    <w:p>
      <w:pPr>
        <w:jc w:val="center"/>
        <w:pStyle w:val="Normal"/>
        <w:spacing w:line="240" w:lineRule="auto"/>
        <w:keepNext/>
      </w:pPr>
      <w:r>
        <w:rPr>
          <w:sz w:val="28"/>
          <w:rFonts w:ascii="Times New Roman" w:hAnsi="Times New Roman"/>
        </w:rPr>
        <w:t xml:space="preserve">Bilješka 35.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Sufinanciranje cijene usluge, participacije i slično</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791.962,77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1.038.644,50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131,1</w:t>
            </w:r>
          </w:p>
        </w:tc>
      </w:tr>
    </w:tbl>
    <w:p>
      <w:pPr>
        <w:spacing w:before="0" w:after="0"/>
      </w:pPr>
    </w:p>
    <w:p>
      <w:r>
        <w:t xml:space="preserve">Prihodi na kontu 65264 povećani su u odnosu na prethodnu godinu za 246.681,73 eura, odnosno 31,1 %. Povećanje prihoda rezultat je većeg ostvarenja prihoda od korisnika za pružene usluge smještaja (išlo povećanje cijene smještaja od 01.11.2025. godine), prehrane i skrbi, kao i povećanja obujma pruženih usluga kao što je poludnevni boravak.</w:t>
      </w:r>
    </w:p>
    <w:p/>
    <w:p>
      <w:pPr>
        <w:jc w:val="center"/>
        <w:pStyle w:val="Normal"/>
        <w:spacing w:line="240" w:lineRule="auto"/>
        <w:keepNext/>
      </w:pPr>
      <w:r>
        <w:rPr>
          <w:sz w:val="28"/>
          <w:rFonts w:ascii="Times New Roman" w:hAnsi="Times New Roman"/>
        </w:rPr>
        <w:t xml:space="preserve">Bilješka 36.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31215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bolest, invalidnost i smrtni slučaj</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2.648,64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6.750,66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254,9</w:t>
            </w:r>
          </w:p>
        </w:tc>
      </w:tr>
    </w:tbl>
    <w:p>
      <w:pPr>
        <w:spacing w:before="0" w:after="0"/>
      </w:pPr>
    </w:p>
    <w:p>
      <w:r>
        <w:t xml:space="preserve">U izvještajnom razdoblju došlo je do povećanja rashoda na kontu 31215 u odnosu na prošlu godinu u istom razdoblju zbog većeg broja isplaćenih naknada zaposlenicima. U promatranom razdoblju isplaćene su pomoći za bolovanje za 14 zaposlenika te jedna jednokratna pomoć zbog smrtnog slučaja, što je rezultiralo povećanjem izdataka u odnosu na prethodnu godinu.</w:t>
      </w:r>
    </w:p>
    <w:p/>
    <w:p>
      <w:pPr>
        <w:jc w:val="center"/>
        <w:pStyle w:val="Normal"/>
        <w:spacing w:line="240" w:lineRule="auto"/>
        <w:keepNext/>
      </w:pPr>
      <w:r>
        <w:rPr>
          <w:sz w:val="28"/>
          <w:rFonts w:ascii="Times New Roman" w:hAnsi="Times New Roman"/>
        </w:rPr>
        <w:t xml:space="preserve">Bilješka 37.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prijevoz na posao i s posla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18.242,79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20.609,02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113,0</w:t>
            </w:r>
          </w:p>
        </w:tc>
      </w:tr>
    </w:tbl>
    <w:p>
      <w:pPr>
        <w:spacing w:before="0" w:after="0"/>
      </w:pPr>
    </w:p>
    <w:p>
      <w:r>
        <w:t xml:space="preserve">Povećanje rashoda na kontu 32121 u odnosu na prošlu godinu u istom razdoblju rezultat je povećanja troškova prijevoza zaposlenika zbog većeg broja zaposlenih koji imaju pravo na naknadu. Naknade su isplaćivane zaposlenicima sukladno njihovom pravu na naknadu troškova dolaska na posao i odlaska s posla.</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38.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Nemamo dospjelih obveza na kraju izvještajnog razdoblja (šifra V008+D23+D24+'D dio 25,26'+d27). Dom redovno podmiruje svoje obveze prema dobavljačima.</w:t>
      </w:r>
    </w:p>
    <w:p/>
    <w:p>
      <w:pPr>
        <w:jc w:val="center"/>
        <w:pStyle w:val="Normal"/>
        <w:spacing w:line="240" w:lineRule="auto"/>
        <w:keepNext/>
      </w:pPr>
      <w:r>
        <w:rPr>
          <w:sz w:val="28"/>
          <w:rFonts w:ascii="Times New Roman" w:hAnsi="Times New Roman"/>
        </w:rPr>
        <w:t xml:space="preserve">Bilješka 39.</w:t>
      </w:r>
    </w:p>
    <w:p>
      <w:pPr>
        <w:jc w:val="both"/>
        <w:pStyle w:val="Normal"/>
        <w:spacing w:line="240" w:lineRule="auto"/>
      </w:pPr>
      <w:r>
        <w:rPr>
          <w:b/>
          <w:sz w:val="24"/>
          <w:rFonts w:ascii="Times New Roman" w:hAnsi="Times New Roman"/>
        </w:rPr>
        <w:t xml:space="preserve">EU izvještaj</w:t>
      </w:r>
    </w:p>
    <w:p>
      <w:r>
        <w:t xml:space="preserve">Imamo projekt Zaželi od EU projekata koji se financira dijelom od 85% iz Europskog socijalnog fonda plus (izvor financiranja 561) te 15% iz proračuna JLP(R)S. Dom za starije i nemoćne osobe Đakovo je partner u tom projektu, a nositelj projekta je Osječko-baranjska županija. Ostvareni su ukupni prihodi od 43.992,35 EUR, a od toga se financira 37.393,50 EUR iz Europskog socijalnog fond plus, a 6.598,85 EUR iz proračuna JLP(R)S. Na trošak plaće ukupno je utrošeno 37.761,68 EUR, a 32.097,43 EUR (bruto 2) je financirano iz Europskog socijalnog fonda plus, a 5.664,25 EUR (bruto 2) je fiancirano iz proračuna JLP(R)S. Trošak je veći jer je prihod za plaću za 6 mjesec (isplata u 7. mjesecu) knjižena je u 7. mjesecu.</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6c2d65011f39455b" /></Relationships>
</file>