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8583ac94d8b43d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7608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DOM ZA STARIJE I NEMOĆNE OSOBE ĐAKOVO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2.618.938,97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3.524.946,66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2.525.474,29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2.977.104,84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93.464,68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547.841,82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68.508,09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510.513,84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68.508,09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510.513,84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24.956,59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37.327,98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149,6</w:t>
            </w:r>
          </w:p>
        </w:tc>
      </w:tr>
    </w:tbl>
    <w:p>
      <w:pPr>
        <w:spacing w:before="0" w:after="0"/>
      </w:pPr>
    </w:p>
    <w:p>
      <w:r>
        <w:t xml:space="preserve">Višak prihoda poslovanja </w:t>
      </w:r>
      <w:r>
        <w:rPr>
          <w:b/>
        </w:rPr>
        <w:t xml:space="preserve">(šifra X001)</w:t>
      </w:r>
      <w:r>
        <w:t xml:space="preserve"> u iznosu od 547.841,82 EUR za 2025. godinu je veća u odnosu na 2024. koja je iznosila 93.464,68 EUR zbog povećanja prihoda od smještaja jer je cijena usluge smješaja rasla u prosjeku od 32,88% od 01.11.2025. godine. Rasle su i cijene ručka za vanjske korisnike te cijene pomoći njega u kući. Povećali su se prihodi za financiranje rashoda za nabavu nefinancijske imovine za opremu, prihodi za dodatna ulaganja na građevinskim objektima te prihodi za financijeske rashode za nabavu nefinancijske imovine za namještaj što će u budućnosti proširiti kapacitet Doma za 18 smještajnih mjesta sa 240 na 258.</w:t>
      </w:r>
    </w:p>
    <w:p>
      <w:r>
        <w:t xml:space="preserve">Manjak prihoda od nefinancijske imovine </w:t>
      </w:r>
      <w:r>
        <w:rPr>
          <w:b/>
        </w:rPr>
        <w:t xml:space="preserve">(šifra Y002) </w:t>
      </w:r>
      <w:r>
        <w:t xml:space="preserve">u iznosu od 510.513,84 EUR je razlog proširenja Doma i njegovog kapaciteta. Povećali su se rashodi za nabavu nefinancijske imovine i rashodi za dodatna ulaganja na građevinskim objektima. Rashodi za dodatna ulaganja na građevinskim objektima se nastavljaju i u 2026. godini.</w:t>
      </w:r>
    </w:p>
    <w:p>
      <w:r>
        <w:t xml:space="preserve">Nemamo primitaka od financijske imovine i zaduživanja niti izdataka za financijsku imovinu i otplate zajmova </w:t>
      </w:r>
      <w:r>
        <w:rPr>
          <w:b/>
        </w:rPr>
        <w:t xml:space="preserve">(šifra X003 i šifra Y003)</w:t>
      </w:r>
      <w:r>
        <w:t xml:space="preserve">.</w:t>
      </w:r>
    </w:p>
    <w:p>
      <w:r>
        <w:t xml:space="preserve">Višak prihoda i primitaka </w:t>
      </w:r>
      <w:r>
        <w:rPr>
          <w:b/>
        </w:rPr>
        <w:t xml:space="preserve">(šifra X005)</w:t>
      </w:r>
      <w:r>
        <w:t xml:space="preserve"> u iznosu od 37.327,98 EUR proizlazi iz neutrošenih rashoda iz 2025. godine koji su planirani tijekom godine.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2.618.938,97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3.524.946,66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w:t>
            </w:r>
          </w:p>
        </w:tc>
      </w:tr>
    </w:tbl>
    <w:p>
      <w:pPr>
        <w:spacing w:before="0" w:after="0"/>
      </w:pPr>
    </w:p>
    <w:p>
      <w:r>
        <w:t xml:space="preserve">Dom je ostvario ukupne prihode u iznosu od 3.524.946,66 EUR od kojih su tekuće pomoći iz državnog proračuna 6.480,00 EUR (0,18%), prihodi po posebnim propisima 1.692.548,01 (48,02%), prihodi iz nadležnog proračuna za financiranje rashoda poslovanja- sredstva dožnačena iz Osječko-baranjske županije u iznosu od 1.825.918,65 (51,80%).</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326,6</w:t>
            </w:r>
          </w:p>
        </w:tc>
      </w:tr>
    </w:tbl>
    <w:p>
      <w:pPr>
        <w:spacing w:before="0" w:after="0"/>
      </w:pPr>
    </w:p>
    <w:p>
      <w:r>
        <w:t xml:space="preserve">Prihodi od imovine (šifra 641+642+643) su u biti kamate za depozite po viđenju koji su veći za razliku od 2024. godine jer smo imali 2025. godine više novaca na žiro računu u banci. Redovno su naplaćivane usluge doma te je JLP(R)S redovno doznačivala prihode za troškove po zahtjevima.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1.105.129,86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1.825.918,65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w:t>
            </w:r>
          </w:p>
        </w:tc>
      </w:tr>
    </w:tbl>
    <w:p>
      <w:pPr>
        <w:spacing w:before="0" w:after="0"/>
      </w:pPr>
    </w:p>
    <w:p>
      <w:r>
        <w:t xml:space="preserve">Prihod iz nadležnog proračuna i od HZZO-a na temelju ugovorenih obveza (šifre 671+673) je veća nego razdoblje prethodne godine zbog povećanih prihoda od JLP(R)S za nabavu nefinancijske imovine tj. opreme (klime, profesionalni stroj za glačanje rublja i profesionalni stroj za pranje rublja, plinski štednjak i plinski kotao), za dodatna ulaganja na građevinskim objektima (elaborat za kotlovnicu, proširenje smještajnog kapaciteta za 18 korisnika- odjel za osbe sa demencijom) te za nabavu nefinancijske imovine tj. namještaja (namještaj za 40 dvokrevetnih soba). </w:t>
      </w:r>
    </w:p>
    <w:p>
      <w:r>
        <w:t xml:space="preser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1.850.375,19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2.245.241,26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w:t>
            </w:r>
          </w:p>
        </w:tc>
      </w:tr>
    </w:tbl>
    <w:p>
      <w:pPr>
        <w:spacing w:before="0" w:after="0"/>
      </w:pPr>
    </w:p>
    <w:p>
      <w:r>
        <w:t xml:space="preserve">Povećanje rashoda za zaposlene (šifre 311+312+313) je zbog povećanja plaća te je proknjiženo 13 plaća u 2025. godini.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376,3</w:t>
            </w:r>
          </w:p>
        </w:tc>
      </w:tr>
    </w:tbl>
    <w:p>
      <w:pPr>
        <w:spacing w:before="0" w:after="0"/>
      </w:pPr>
    </w:p>
    <w:p>
      <w:r>
        <w:t xml:space="preserve">U 2025. godini je bilo više stručnih seminara te put u inozemstvo (Njemačka) po donaciju zbog medicinske opreme i namještaja (dar Crvenog križa Njemačke).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w:t>
            </w:r>
          </w:p>
        </w:tc>
      </w:tr>
    </w:tbl>
    <w:p>
      <w:pPr>
        <w:spacing w:before="0" w:after="0"/>
      </w:pPr>
    </w:p>
    <w:p>
      <w:r>
        <w:t xml:space="preserve">Obzirom na starost građevinskog objekta i opreme Doma postoji potreba za većim ulaganjem tj. za kupovinu materijala za tekuće investicijsko ulaganje.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56.825,81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114.462,24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w:t>
            </w:r>
          </w:p>
        </w:tc>
      </w:tr>
    </w:tbl>
    <w:p>
      <w:pPr>
        <w:spacing w:before="0" w:after="0"/>
      </w:pPr>
    </w:p>
    <w:p>
      <w:r>
        <w:t xml:space="preserve">U 2025. godini je bila veća potreba za uslugama tekućeg i investicijskog ulaganja. U 40 dvokrevetnih soba zbog mjenjanja namještaja bilo je potrebno pomijeniti podove i zidne obloge te krećiti 40 dovkrevetnih soba (hitna intervencija). Zatim usluga uređenje okoliša oko Doma, rezanje i uklanjanje dugogodišnjeg grmolikog borovog raslinja, vađenje panjeva i odvoz istih te hitna intervencija za popravak krova zgrade Doma. </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642,2</w:t>
            </w:r>
          </w:p>
        </w:tc>
      </w:tr>
    </w:tbl>
    <w:p>
      <w:pPr>
        <w:spacing w:before="0" w:after="0"/>
      </w:pPr>
    </w:p>
    <w:p>
      <w:r>
        <w:t xml:space="preserve">Veliko povećanje u 2025. godini je došlo zbog plaćanja novčane naknade zbog nezapošljavanja osoba s invaliditetom od 4. mjeseca 2025. godine. Dok u 2024. godini nismo imali naknadu zbog nezapošljavanja osoba sa invaliditetom. Osim toga, povećane su i ostale naknade te naknade za EVOtv.</w:t>
      </w:r>
    </w:p>
    <w:p>
      <w:r>
        <w:t xml:space="preserve">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w:t>
            </w:r>
          </w:p>
        </w:tc>
      </w:tr>
    </w:tbl>
    <w:p>
      <w:pPr>
        <w:spacing w:before="0" w:after="0"/>
      </w:pPr>
    </w:p>
    <w:p>
      <w:r>
        <w:t xml:space="preserve">Povećana je novčana naknada iz sustava socijalne skrbi- osobne potrebe (đeparac) za korisnike Doma za starije i nemoćne osobe. A i broj korisnika smještenih putem rješenja Hrvatskog zavoda za socijalnu skrb tokom godina varira.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93.464,68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547.841,82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586,1</w:t>
            </w:r>
          </w:p>
        </w:tc>
      </w:tr>
    </w:tbl>
    <w:p>
      <w:pPr>
        <w:spacing w:before="0" w:after="0"/>
      </w:pPr>
    </w:p>
    <w:p>
      <w:r>
        <w:t xml:space="preserve">Višak prihoda poslovanja (šifra X001) u iznosu od 547.841,82 EUR za 2025. godinu je veća u odnosu na 2024. koja je iznosila 93.464,68 EUR zbog povećanja prihoda od smještaja jer je cijena usluge smješaja rasla u prosjeku od 32,88% od 01.11.2025. godine. Rasle su i cijene ručka za vanjske korisnike te cijene pomoći njega u kući. Povećali su se prihodi za financiranje rashoda za nabavu nefinancijske imovine za opremu, prihodi za dodatna ulaganja na građevinskim objektima te prihodi za financijeske rashode za nabavu nefinancijske imovine za namještaj što će u budućnosti proširiti kapacitet Doma za 18 smještajnih mjesta sa 240 na 258.</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40.890,98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256,6</w:t>
            </w:r>
          </w:p>
        </w:tc>
      </w:tr>
    </w:tbl>
    <w:p>
      <w:pPr>
        <w:spacing w:before="0" w:after="0"/>
      </w:pPr>
    </w:p>
    <w:p>
      <w:r>
        <w:t xml:space="preserve">Višak prihoda poslovanja preneseni iz 2024. godine u iznosu od 40.890,98 EUR nije utrošeno u 2025. godini.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w:t>
            </w:r>
          </w:p>
        </w:tc>
      </w:tr>
    </w:tbl>
    <w:p>
      <w:pPr>
        <w:spacing w:before="0" w:after="0"/>
      </w:pPr>
    </w:p>
    <w:p>
      <w:r>
        <w:t xml:space="preserve">Nenaplaćena potraživanja od Ministarstva rada, mirovisnkog sustava, obitelji i socijalne politike za usluge smještaja, kućne njege i ostalih usluga.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68.508,09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510.513,84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745,2</w:t>
            </w:r>
          </w:p>
        </w:tc>
      </w:tr>
    </w:tbl>
    <w:p>
      <w:pPr>
        <w:spacing w:before="0" w:after="0"/>
      </w:pPr>
    </w:p>
    <w:p>
      <w:r>
        <w:t xml:space="preserve">Troškovi su povećani zbog dodatnih ulaganja na građevinskim objektima- rekonstrukcija prostora za smještaj 18 korisnika. Nabava namještaja za 40 dvokrevetnih soba, nabava profesionalnog stroja za pranje rublja, profesionalnog stroja za glačanje rublje, plinskog kotla i plinskog štednjaka za kuhinju Doma.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67.266,13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238.978,51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355,3</w:t>
            </w:r>
          </w:p>
        </w:tc>
      </w:tr>
    </w:tbl>
    <w:p>
      <w:pPr>
        <w:spacing w:before="0" w:after="0"/>
      </w:pPr>
    </w:p>
    <w:p>
      <w:r>
        <w:t xml:space="preserve">U 2024. godini se nije toliko ulagalo u postojenja i opremu pa je zato došlo do velike razlike u 2025. godini. U 2025. godini Dom je opremao sa namještajem 40 dvokrevetnih soba, kupovao profesionalne strojeve za pranje rublja, profesionalne stroje za glačanje rublja te opreme za kuhinju (plinski kotao i plinski štednjak).</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w:t>
            </w:r>
          </w:p>
        </w:tc>
      </w:tr>
    </w:tbl>
    <w:p>
      <w:pPr>
        <w:spacing w:before="0" w:after="0"/>
      </w:pPr>
    </w:p>
    <w:p>
      <w:r>
        <w:t xml:space="preserve">Izdaci za komunikaciju opremu su povećani zbog zamjene dotrajalih televizijskih prijemnika te su se postavljali novi tv prijemnici u sobe koje ga nisu imale.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68.508,09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510.513,84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745,2</w:t>
            </w:r>
          </w:p>
        </w:tc>
      </w:tr>
    </w:tbl>
    <w:p>
      <w:pPr>
        <w:spacing w:before="0" w:after="0"/>
      </w:pPr>
    </w:p>
    <w:p>
      <w:r>
        <w:t xml:space="preserve">Manjak prihoda od nefinancijske imovine (šifra Y002) u iznosu od 510.513,84 EUR je razlog proširenja Doma i njegovog kapaciteta. Povećali su se rashodi za nabavu nefinancijske imovine i rashodi za dodatna ulaganja na građevinskim objektima. Rashodi za dodatna ulaganja na građevinskim objektima se nastavljaju i u 2026. godini.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2.618.938,97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3.524.946,66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w:t>
            </w:r>
          </w:p>
        </w:tc>
      </w:tr>
    </w:tbl>
    <w:p>
      <w:pPr>
        <w:spacing w:before="0" w:after="0"/>
      </w:pPr>
    </w:p>
    <w:p>
      <w:r>
        <w:t xml:space="preserve">Ukupni prihodi su rasli u odnosu na 2024. godinu zbog povećanja prihoda po posebnim propisima kao i povećanja prihoda od JLP(R)S za plaće, za financiranje tekućih rashoda poslovanja i kapitalnih ulaganja.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24.956,59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w:t>
            </w:r>
          </w:p>
        </w:tc>
      </w:tr>
    </w:tbl>
    <w:p>
      <w:pPr>
        <w:spacing w:before="0" w:after="0"/>
      </w:pPr>
    </w:p>
    <w:p>
      <w:r>
        <w:t xml:space="preserve">Višak prihoda i primitaka (šifre X678-Y345) od 37.327,98 EUR vlastitih prihoda se prenosi na konto 92211 te će biti utrošena u 2026. godini.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170.245,85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588.143,32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w:t>
            </w:r>
          </w:p>
        </w:tc>
      </w:tr>
    </w:tbl>
    <w:p>
      <w:pPr>
        <w:spacing w:before="0" w:after="0"/>
      </w:pPr>
    </w:p>
    <w:p>
      <w:r>
        <w:t xml:space="preserve">Stanje novčanih sredstava na kraju izvještajnog razdoblja sastoji se od: prenesenih sredstava iz 2024. godine 40.890,98 EUR, višak prihoda iz 2025. godine 37.327,98 EUR, obveza proračunskih korisnika za povrat u proračun 217.740,01 EUR, unaprijed plaćenih prihoda 37.254,09 EUR, obveze za plaće i ostale rashode za zaposlene 187.757,69 EUR, obveze za materijalne rashode 86.147,07 EUR, obveze za ostale financijske rashode 511,51 EUR. Umanjeno za potraživanja za više plaćene doprinose i poreze te plaćene naknade na teret HZZO-a 19.486,15 EUR.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2.606.579,17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3.038.337,58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r>
        <w:t xml:space="preserve">Proizvedena dugotrajna imovina je veća za 16,6% od prethodne godine 2024. jer su se kupili novi TV prijemnici, klime, uredski namještaj- opremanje sa namještajem za 40 dvokrevetnih soba, valjak za peglanje i kuhinjska oprema.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170.245,85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588.143,32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w:t>
            </w:r>
          </w:p>
        </w:tc>
      </w:tr>
    </w:tbl>
    <w:p>
      <w:pPr>
        <w:spacing w:before="0" w:after="0"/>
      </w:pPr>
    </w:p>
    <w:p>
      <w:r>
        <w:t xml:space="preserve">Novac u banci i blagajni na kraju izvještajnog razdoblja sastoji se od: prenesenih sredstava iz 2024. godine 40.890,98 EUR, višak prihoda iz 2025. godine 37.327,98 EUR, obveza proračunskih korisnika za povrat u proračun 217.740,01 EUR, unaprijed plaćenih prihoda 37.254,09 EUR, obveze za plaće i ostale rashode za zaposlene 187.757,69 EUR, obveze za materijalne rashode 86.147,07 EUR, obveze za ostale financijske rashode 511,51 EUR. Umanjeno za potraživanja za više plaćene doprinose i poreze te plaćene naknade na teret HZZO-a 19.486,15 EUR.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412,8</w:t>
            </w:r>
          </w:p>
        </w:tc>
      </w:tr>
    </w:tbl>
    <w:p>
      <w:pPr>
        <w:spacing w:before="0" w:after="0"/>
      </w:pPr>
    </w:p>
    <w:p>
      <w:r>
        <w:t xml:space="preserve">U 2025. godini su bolovanja drastično porasla u odnosu na 2024. godinu. Potraživanja od HZZO za prosinac 2025. godinu je zaknjiženo u 2025. godini dok u 2024. godini nije bilo zaknjiženo potraživanje za prosinac 2024. godinu. Naša potraživanja od HZZO-a su za dio listopada, cijeli studeni i cijeli prosinac za 2025. godinu.</w:t>
      </w:r>
    </w:p>
    <w:p>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w:t>
            </w:r>
          </w:p>
        </w:tc>
      </w:tr>
    </w:tbl>
    <w:p>
      <w:pPr>
        <w:spacing w:before="0" w:after="0"/>
      </w:pPr>
    </w:p>
    <w:p>
      <w:r>
        <w:t xml:space="preserve">Iznos je veći u odnosu na prošlu godinu 2024. jer imamo potraživanja od Ministarstva rada, mirovinskog sustava, obitelji i socijalne politike Zagreb za studeni i prosinac za 2025. godinu i potraživanja od korisnika Doma. Rasle su i cijene smještaja pa je i to utjecalo na veći iznos potraživanja od korisnika Doma.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Odgođeno plaćanje rashoda i prihodi budućih razdoblja (pasivna vremenska razgraničenja) (šifre 291+292)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22.617,33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37.254,09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w:t>
            </w:r>
          </w:p>
        </w:tc>
      </w:tr>
    </w:tbl>
    <w:p>
      <w:pPr>
        <w:spacing w:before="0" w:after="0"/>
      </w:pPr>
    </w:p>
    <w:p>
      <w:r>
        <w:t xml:space="preserve">Korisnici Doma su u 2025. godini uplatili usluge smještaja za 2026. godinu pa je zato veći iznos za 64,7% u odnosu na 2024. godinu.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69.938,60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1120,8</w:t>
            </w:r>
          </w:p>
        </w:tc>
      </w:tr>
    </w:tbl>
    <w:p>
      <w:pPr>
        <w:spacing w:before="0" w:after="0"/>
      </w:pPr>
    </w:p>
    <w:p>
      <w:r>
        <w:t xml:space="preserve">U 2024. godini su bile samo 2 zadužnice, a u 2025. sveskupa 13 zadužnica što i rezultira veći iznos u odnosu na 2024. godinu. Jedan dio zadužnica koje smo dobili od davatelja jamstva su nam jamstvo za uredno ispunjenje ugovora, a druge su nam jamstvo za otklanjanje nedostataka u jamstvenom roku.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Nemamo dospjelih obveza na kraju izvještajnog razdoblja </w:t>
      </w:r>
      <w:r>
        <w:rPr>
          <w:b/>
        </w:rPr>
        <w:t xml:space="preserve">(šifra V008+D23+D24+'D dio 25,26'+d27)</w:t>
      </w:r>
      <w:r>
        <w:t xml:space="preserve">. Dom redovno podmiruje svoje obveze prema dobavljačima.</w:t>
      </w:r>
    </w:p>
    <w:p/>
    <w:p>
      <w:pPr>
        <w:jc w:val="center"/>
        <w:pStyle w:val="Normal"/>
        <w:spacing w:line="240" w:lineRule="auto"/>
        <w:keepNext/>
      </w:pPr>
      <w:r>
        <w:rPr>
          <w:sz w:val="28"/>
          <w:rFonts w:ascii="Times New Roman" w:hAnsi="Times New Roman"/>
        </w:rPr>
        <w:t xml:space="preserve">Bilješka 28.</w:t>
      </w:r>
    </w:p>
    <w:p>
      <w:pPr>
        <w:jc w:val="both"/>
        <w:pStyle w:val="Normal"/>
        <w:spacing w:line="240" w:lineRule="auto"/>
      </w:pPr>
      <w:r>
        <w:rPr>
          <w:b/>
          <w:sz w:val="24"/>
          <w:rFonts w:ascii="Times New Roman" w:hAnsi="Times New Roman"/>
        </w:rPr>
        <w:t xml:space="preserve">EU izvještaj</w:t>
      </w:r>
    </w:p>
    <w:p>
      <w:r>
        <w:t xml:space="preserve">Od EU projekata imamo projekat Zaželi koji se financira dijelom od 15% iz proračuna JLP(R)S te 85% iz Europskog socijalnog fonda plus (izvor financiranja 561). Ostvareni su ukupni prihodi i ukupni rashodi od 88.911,81 EUR, a od toga se financira 13.336,77 EUR iz proračuna JLP(R)S te 75.575,04 EUR iz Europskog socijalnog fonda plus. Na trošak plaće je utrošeno ukupno 73.354,27 EUR te za doprinose na zdravstveno ukupno 12.103,46 EUR. Na uredski materijal i ostali materijalni rashodi je utrošeno ukupno 3.454,08 EUR.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c564809c85a42f9" /></Relationships>
</file>